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3C33DE" w:rsidRDefault="00052BCC" w:rsidP="003C33DE">
      <w:pPr>
        <w:pStyle w:val="SemEspaamento"/>
      </w:pPr>
    </w:p>
    <w:p w14:paraId="1211E68C" w14:textId="77777777" w:rsidR="00B83FA2" w:rsidRDefault="00B83FA2" w:rsidP="00052BCC">
      <w:pPr>
        <w:jc w:val="center"/>
        <w:rPr>
          <w:rFonts w:ascii="Arial" w:hAnsi="Arial" w:cs="Arial"/>
          <w:b/>
          <w:bCs/>
        </w:rPr>
      </w:pPr>
    </w:p>
    <w:p w14:paraId="5103ED6B" w14:textId="498BC503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3AF811EE" w:rsidR="00715EDC" w:rsidRPr="00ED18DA" w:rsidRDefault="00957CC8" w:rsidP="00681746">
      <w:pPr>
        <w:spacing w:line="360" w:lineRule="auto"/>
        <w:jc w:val="both"/>
      </w:pPr>
      <w:r w:rsidRPr="00C8202D">
        <w:t xml:space="preserve">Aos </w:t>
      </w:r>
      <w:r w:rsidR="00A1307B">
        <w:t>26</w:t>
      </w:r>
      <w:r w:rsidR="00B67010" w:rsidRPr="00C8202D">
        <w:t xml:space="preserve"> </w:t>
      </w:r>
      <w:r w:rsidR="00B00389" w:rsidRPr="00C8202D">
        <w:t xml:space="preserve">de </w:t>
      </w:r>
      <w:r w:rsidR="00B2023A">
        <w:t>março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3845C2">
        <w:t>3</w:t>
      </w:r>
      <w:r w:rsidR="00B00389" w:rsidRPr="00C8202D">
        <w:t>:00 horas, na sede do Instituto de Previdência dos Servidores Públicos do Município de Guanhães – GuanhãesPrev, situado a Rua Monsenhor Pinheiro, nº 101, centro, Guanhães/MG, reuniu-se o Comitê de Investimento do Instituto,</w:t>
      </w:r>
      <w:r w:rsidR="00BA35B1">
        <w:t xml:space="preserve">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BA35B1">
        <w:t xml:space="preserve">, </w:t>
      </w:r>
      <w:r w:rsidR="00BA35B1" w:rsidRPr="00C8202D">
        <w:t>Francielle Elgita de Oliveira Costa</w:t>
      </w:r>
      <w:r w:rsidR="00BA35B1">
        <w:t xml:space="preserve">, </w:t>
      </w:r>
      <w:r w:rsidR="00BA35B1" w:rsidRPr="00C8202D">
        <w:t xml:space="preserve">Márcia Helena Pires Reis </w:t>
      </w:r>
      <w:r w:rsidR="00BA35B1">
        <w:t xml:space="preserve">e </w:t>
      </w:r>
      <w:r w:rsidR="00B00389" w:rsidRPr="00C8202D">
        <w:t>Rosimery Aparecida Inácio de Pinho Procópio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A1307B">
        <w:t>Bruna,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 xml:space="preserve">da </w:t>
      </w:r>
      <w:r w:rsidR="00AB1D0C">
        <w:t xml:space="preserve">Lema </w:t>
      </w:r>
      <w:r w:rsidR="00D119C1" w:rsidRPr="00C8202D">
        <w:t>Assessoria</w:t>
      </w:r>
      <w:r w:rsidR="000F1624" w:rsidRPr="00C8202D">
        <w:t xml:space="preserve"> de Investimento</w:t>
      </w:r>
      <w:r w:rsidR="00AB1D0C">
        <w:t>s</w:t>
      </w:r>
      <w:r w:rsidR="00A1307B">
        <w:t>,</w:t>
      </w:r>
      <w:r w:rsidR="00AB1D0C">
        <w:t xml:space="preserve"> </w:t>
      </w:r>
      <w:r w:rsidR="003250CC">
        <w:t>de forma remota</w:t>
      </w:r>
      <w:r w:rsidR="00666BBA">
        <w:t xml:space="preserve">. </w:t>
      </w:r>
      <w:r w:rsidR="009A0070">
        <w:t xml:space="preserve"> </w:t>
      </w:r>
      <w:r w:rsidR="00AB1D0C" w:rsidRPr="00FF0081">
        <w:t xml:space="preserve">Francielle abriu a reunião dando </w:t>
      </w:r>
      <w:r w:rsidR="009B4279" w:rsidRPr="00FF0081">
        <w:t>boas-vindas</w:t>
      </w:r>
      <w:r w:rsidR="00AB1D0C" w:rsidRPr="00FF0081">
        <w:t xml:space="preserve"> a todos e informou que a reunião </w:t>
      </w:r>
      <w:r w:rsidR="00A1307B" w:rsidRPr="00FF0081">
        <w:t>é a de fechamento do mês</w:t>
      </w:r>
      <w:r w:rsidR="00317AD4" w:rsidRPr="00FF0081">
        <w:t xml:space="preserve"> </w:t>
      </w:r>
      <w:r w:rsidR="00A1307B" w:rsidRPr="00FF0081">
        <w:t>de fevereiro de 2025.</w:t>
      </w:r>
      <w:r w:rsidR="00AB1D0C" w:rsidRPr="00FF0081">
        <w:t xml:space="preserve"> </w:t>
      </w:r>
      <w:r w:rsidR="00C616CF" w:rsidRPr="00FF0081">
        <w:t xml:space="preserve">Informou que </w:t>
      </w:r>
      <w:r w:rsidR="00FF0081" w:rsidRPr="00FF0081">
        <w:rPr>
          <w:rFonts w:ascii="Calibri" w:hAnsi="Calibri" w:cs="Calibri"/>
        </w:rPr>
        <w:t>a</w:t>
      </w:r>
      <w:r w:rsidR="00C616CF" w:rsidRPr="00FF0081">
        <w:rPr>
          <w:rFonts w:ascii="Calibri" w:hAnsi="Calibri" w:cs="Calibri"/>
        </w:rPr>
        <w:t xml:space="preserve"> carteira de investimentos do GUANHÃES PREV está segregada entre os segmentos de renda fixa, renda variável, sendo </w:t>
      </w:r>
      <w:r w:rsidR="00C616CF" w:rsidRPr="00FF0081">
        <w:rPr>
          <w:rFonts w:ascii="Calibri" w:hAnsi="Calibri" w:cs="Calibri"/>
          <w:b/>
          <w:bCs/>
        </w:rPr>
        <w:t>78,52%, 21,48%</w:t>
      </w:r>
      <w:r w:rsidR="00FF0081" w:rsidRPr="00FF0081">
        <w:rPr>
          <w:rFonts w:ascii="Calibri" w:hAnsi="Calibri" w:cs="Calibri"/>
        </w:rPr>
        <w:t>,</w:t>
      </w:r>
      <w:r w:rsidR="00C616CF" w:rsidRPr="00FF0081">
        <w:rPr>
          <w:rFonts w:ascii="Calibri" w:hAnsi="Calibri" w:cs="Calibri"/>
        </w:rPr>
        <w:t xml:space="preserve"> respectivamente, não ultrapassando o limite de 35% permitido pela Resolução CMN n°4.963/2021 para o segmento de renda variável aos RPPS que possuem a Certificação Institucional Pró-Gestão Nível I.</w:t>
      </w:r>
      <w:r w:rsidR="00C616CF" w:rsidRPr="00FF0081">
        <w:rPr>
          <w:rFonts w:ascii="Calibri" w:hAnsi="Calibri" w:cs="Calibri"/>
        </w:rPr>
        <w:t xml:space="preserve"> Que </w:t>
      </w:r>
      <w:r w:rsidR="00C616CF" w:rsidRPr="00FF0081">
        <w:rPr>
          <w:rFonts w:cstheme="minorHAnsi"/>
        </w:rPr>
        <w:t>a carteira de investimentos por segmento, segundo os limites permitidos pela Resolução CMN nº 4.963/2021 e a Política de Investimentos aprovada para o exercício não h</w:t>
      </w:r>
      <w:r w:rsidR="00C616CF" w:rsidRPr="00FF0081">
        <w:rPr>
          <w:rFonts w:cstheme="minorHAnsi"/>
        </w:rPr>
        <w:t>á</w:t>
      </w:r>
      <w:r w:rsidR="00C616CF" w:rsidRPr="00FF0081">
        <w:rPr>
          <w:rFonts w:cstheme="minorHAnsi"/>
        </w:rPr>
        <w:t xml:space="preserve"> desenquadramento nos segmentos de Renda Fixa e Renda Variável.</w:t>
      </w:r>
      <w:r w:rsidR="00C616CF" w:rsidRPr="00FF0081">
        <w:rPr>
          <w:rFonts w:cstheme="minorHAnsi"/>
        </w:rPr>
        <w:t xml:space="preserve"> Que a</w:t>
      </w:r>
      <w:r w:rsidR="00C616CF" w:rsidRPr="00FF0081">
        <w:rPr>
          <w:rFonts w:cstheme="minorHAnsi"/>
        </w:rPr>
        <w:t xml:space="preserve"> carteira do GUANHÃES PREV possui 74,40% dos seus recursos com liquidez abaixo de 30 dias, sendo este patrimônio dividido em 21 fundos de investimentos</w:t>
      </w:r>
      <w:r w:rsidR="00C616CF" w:rsidRPr="00FF0081">
        <w:rPr>
          <w:rFonts w:cstheme="minorHAnsi"/>
        </w:rPr>
        <w:t xml:space="preserve">. Que </w:t>
      </w:r>
      <w:r w:rsidR="00C616CF" w:rsidRPr="00FF0081">
        <w:rPr>
          <w:rFonts w:cstheme="minorHAnsi"/>
        </w:rPr>
        <w:t>no mês de fevereiro houve um decaimento patrimonial, devido ao resgate para pagamento da folha, com uma rentabilidade de 0,03%</w:t>
      </w:r>
      <w:r w:rsidR="00C616CF" w:rsidRPr="00FF0081">
        <w:rPr>
          <w:rFonts w:cstheme="minorHAnsi"/>
        </w:rPr>
        <w:t xml:space="preserve"> e que o</w:t>
      </w:r>
      <w:r w:rsidR="00C616CF" w:rsidRPr="00FF0081">
        <w:rPr>
          <w:rFonts w:cstheme="minorHAnsi"/>
        </w:rPr>
        <w:t xml:space="preserve"> Índice Nacional de Preços ao Consumidor Amplo (IPCA), ficou em 1,31%, no mês de fevereiro. Influenciada pelo desempenho do IPCA no mês de fevereiro, a meta atuarial foi </w:t>
      </w:r>
      <w:r w:rsidR="00FF0081" w:rsidRPr="00FF0081">
        <w:rPr>
          <w:rFonts w:cstheme="minorHAnsi"/>
        </w:rPr>
        <w:t xml:space="preserve">de </w:t>
      </w:r>
      <w:r w:rsidR="00C616CF" w:rsidRPr="00FF0081">
        <w:rPr>
          <w:rFonts w:cstheme="minorHAnsi"/>
        </w:rPr>
        <w:t>1,74%.</w:t>
      </w:r>
      <w:r w:rsidR="00C616CF" w:rsidRPr="00FF0081">
        <w:rPr>
          <w:rFonts w:cstheme="minorHAnsi"/>
        </w:rPr>
        <w:t xml:space="preserve"> Que isso se deu </w:t>
      </w:r>
      <w:r w:rsidR="000C6976" w:rsidRPr="00FF0081">
        <w:rPr>
          <w:rFonts w:cstheme="minorHAnsi"/>
        </w:rPr>
        <w:t xml:space="preserve">em conformidade com </w:t>
      </w:r>
      <w:r w:rsidR="00C616CF" w:rsidRPr="00FF0081">
        <w:rPr>
          <w:rFonts w:cstheme="minorHAnsi"/>
        </w:rPr>
        <w:t>o cenário econômico e do atual posicionamento da carteira do GUANHÃES PREV</w:t>
      </w:r>
      <w:r w:rsidR="00C616CF" w:rsidRPr="00FF0081">
        <w:rPr>
          <w:rFonts w:cstheme="minorHAnsi"/>
        </w:rPr>
        <w:t xml:space="preserve">. </w:t>
      </w:r>
      <w:r w:rsidR="00A22A5E" w:rsidRPr="00FF0081">
        <w:rPr>
          <w:rFonts w:cstheme="minorHAnsi"/>
        </w:rPr>
        <w:t>Informou por fim, que este</w:t>
      </w:r>
      <w:r w:rsidR="00A22A5E" w:rsidRPr="00FF0081">
        <w:rPr>
          <w:rFonts w:cstheme="minorHAnsi"/>
        </w:rPr>
        <w:t xml:space="preserve"> Comitê de Investimentos analisou e atestou a conformidade do relatório de investimentos referente ao mês de fevereiro de 2025 quanto à rentabilidade e riscos das diversas modalidades de operações realizadas na aplicação dos recursos do GUANHÃES-PREV e da aderência das alocações e processos decisórios de investimento à Política de Investimentos, conforme registr</w:t>
      </w:r>
      <w:r w:rsidR="00A22A5E" w:rsidRPr="00FF0081">
        <w:rPr>
          <w:rFonts w:cstheme="minorHAnsi"/>
        </w:rPr>
        <w:t>ad</w:t>
      </w:r>
      <w:r w:rsidR="00A22A5E" w:rsidRPr="00FF0081">
        <w:rPr>
          <w:rFonts w:cstheme="minorHAnsi"/>
        </w:rPr>
        <w:t>o n</w:t>
      </w:r>
      <w:r w:rsidR="00A22A5E" w:rsidRPr="00FF0081">
        <w:rPr>
          <w:rFonts w:cstheme="minorHAnsi"/>
        </w:rPr>
        <w:t>est</w:t>
      </w:r>
      <w:r w:rsidR="00A22A5E" w:rsidRPr="00FF0081">
        <w:rPr>
          <w:rFonts w:cstheme="minorHAnsi"/>
        </w:rPr>
        <w:t>a</w:t>
      </w:r>
      <w:r w:rsidR="00A22A5E" w:rsidRPr="00FF0081">
        <w:rPr>
          <w:rFonts w:cstheme="minorHAnsi"/>
        </w:rPr>
        <w:t xml:space="preserve"> ata.</w:t>
      </w:r>
      <w:r w:rsidR="00A22A5E">
        <w:rPr>
          <w:rFonts w:cstheme="minorHAnsi"/>
        </w:rPr>
        <w:t xml:space="preserve"> </w:t>
      </w:r>
      <w:r w:rsidR="00AB1D0C">
        <w:t xml:space="preserve">Em seguida, passou a palavra para </w:t>
      </w:r>
      <w:r w:rsidR="00A1307B">
        <w:t>Bruna</w:t>
      </w:r>
      <w:r w:rsidR="003C33DE">
        <w:t xml:space="preserve"> </w:t>
      </w:r>
      <w:r w:rsidR="00AB1D0C">
        <w:t xml:space="preserve">que </w:t>
      </w:r>
      <w:r w:rsidR="003C33DE">
        <w:t xml:space="preserve">começou falando </w:t>
      </w:r>
      <w:r w:rsidR="00AB1D0C">
        <w:t xml:space="preserve">sobre o cenário </w:t>
      </w:r>
      <w:r w:rsidR="004E7C89">
        <w:t xml:space="preserve">das economias globais e </w:t>
      </w:r>
      <w:r w:rsidR="008878AB">
        <w:t xml:space="preserve">explicou </w:t>
      </w:r>
      <w:r w:rsidR="004E7C89">
        <w:t>que o principal ponto que trouxe volatilidade para as carteiras foi o crescimento do PIB d</w:t>
      </w:r>
      <w:r w:rsidR="00D403FC">
        <w:t>os Estados Unidos</w:t>
      </w:r>
      <w:r w:rsidR="004E7C89">
        <w:t xml:space="preserve"> no fechamento de 2024</w:t>
      </w:r>
      <w:r w:rsidR="008878AB">
        <w:t>. Q</w:t>
      </w:r>
      <w:r w:rsidR="004E7C89">
        <w:t>ue apresentou</w:t>
      </w:r>
      <w:r w:rsidR="00306E0E">
        <w:t xml:space="preserve"> na leitura do último trimestre um crescimento abaixo do trimestre anterior já indicando sinais de uma possível desaceleração no ano de 2025. Aliado a este crescimento menor na reta final do ano todas as implementações de tarifas que o presidente eleito no final de 2024 em relação aos seus parceiros comerciais desde o início do seu mandato tem trazido grande volatilidade</w:t>
      </w:r>
      <w:r w:rsidR="00D403FC">
        <w:t xml:space="preserve"> </w:t>
      </w:r>
      <w:r w:rsidR="00306E0E">
        <w:t xml:space="preserve">e muitas incertezas tanto na política monetária dos EUA, que é de suma para todo o desempenho global de todos os países, que acaba trazendo grandes incertezas em relação a negociações </w:t>
      </w:r>
      <w:r w:rsidR="00306E0E">
        <w:lastRenderedPageBreak/>
        <w:t xml:space="preserve">comerciais, inflação, e ao consumidor final porque isso acaba impactando nos preços dos países que foram atingidos por estas sanções. É um </w:t>
      </w:r>
      <w:r w:rsidR="00AB35CF">
        <w:t>tarifaço</w:t>
      </w:r>
      <w:r w:rsidR="00306E0E">
        <w:t xml:space="preserve"> bem robusto, embora o impacto dele inicia em 02 de abril ainda, mas que está trazendo </w:t>
      </w:r>
      <w:r w:rsidR="00DD0CFF">
        <w:t>muito receio no crescimento global d</w:t>
      </w:r>
      <w:r w:rsidR="00306E0E">
        <w:t>a economia já para 2025.</w:t>
      </w:r>
      <w:r w:rsidR="00DD0CFF">
        <w:t xml:space="preserve"> E que esta questão de várias economias crescendo menos no ano de 2025 também acaba impactando nos ativos de renda variável. Na zona do ouro o bloco apresentou </w:t>
      </w:r>
      <w:r w:rsidR="00AB35CF">
        <w:t xml:space="preserve">no fechamento do último trimestre </w:t>
      </w:r>
      <w:r w:rsidR="00DD0CFF">
        <w:t xml:space="preserve">um crescimento muito acima do esperado de 1,2% na leitura anual. Em relação à inflação houve </w:t>
      </w:r>
      <w:r w:rsidR="007718A6">
        <w:t xml:space="preserve">um dado mais positivo </w:t>
      </w:r>
      <w:r w:rsidR="00DD0CFF">
        <w:t xml:space="preserve">uma desaceleração de 2,5% </w:t>
      </w:r>
      <w:r w:rsidR="001C0928">
        <w:t xml:space="preserve">para 2,3% </w:t>
      </w:r>
      <w:r w:rsidR="00DD0CFF">
        <w:t xml:space="preserve">na leitura anual que corrobora com a </w:t>
      </w:r>
      <w:r w:rsidR="0093398C">
        <w:t xml:space="preserve">facilidade da condução da </w:t>
      </w:r>
      <w:r w:rsidR="00DD0CFF">
        <w:t>política monetária, mas</w:t>
      </w:r>
      <w:r w:rsidR="00305509">
        <w:t xml:space="preserve"> </w:t>
      </w:r>
      <w:r w:rsidR="00DD0CFF">
        <w:t>não se sabe se sustentará para os próximos meses</w:t>
      </w:r>
      <w:r w:rsidR="00DB2117">
        <w:t>.</w:t>
      </w:r>
      <w:r w:rsidR="00AB35CF">
        <w:t xml:space="preserve"> </w:t>
      </w:r>
      <w:r w:rsidR="0093398C">
        <w:t xml:space="preserve">Na China os resultados em relação aos dados secundários se apresentaram positivos em relação às vendas, mas tem enfrentado problemas em relação à taxa de desemprego elevada o que gera uma falta de confiança da população em relação a economia local, assim as famílias seguram mais os recursos e isso acaba desaquecendo a economia da China na queda da inflação. Essa instabilidade nos mercados internacionais trouxe queda nos </w:t>
      </w:r>
      <w:proofErr w:type="spellStart"/>
      <w:r w:rsidR="0093398C">
        <w:t>BDR´s</w:t>
      </w:r>
      <w:proofErr w:type="spellEnd"/>
      <w:r w:rsidR="0093398C">
        <w:t xml:space="preserve">. Já no cenário nacional houve um crescimento no fechamento de 2024 e que foi esperado e o crescimento no primeiro trimestre foi bem positivo, </w:t>
      </w:r>
      <w:r w:rsidR="00D6037B">
        <w:t>contudo,</w:t>
      </w:r>
      <w:r w:rsidR="0093398C">
        <w:t xml:space="preserve"> há uma projeção de que o Brasil não conseguirá crescer </w:t>
      </w:r>
      <w:r w:rsidR="00D6037B">
        <w:t xml:space="preserve">nesta mesma força </w:t>
      </w:r>
      <w:r w:rsidR="0093398C">
        <w:t>em 2025</w:t>
      </w:r>
      <w:r w:rsidR="00D6037B">
        <w:t xml:space="preserve"> e também o resultado da política expansionista que está em curso mostra que a economia irá desacelerar. Quanto aos dados a inflação o IPCA teve uma alta de 5,06% no mês de fevereiro que ficou acima da meta de 4,50% e isso acabou puxando a meta atuarial muito para cima o que fez com que ela ficasse muito alta num percentual de</w:t>
      </w:r>
      <w:r w:rsidR="00D6037B">
        <w:t xml:space="preserve"> 1,74% acima da nossa meta</w:t>
      </w:r>
      <w:r w:rsidR="00D6037B">
        <w:t xml:space="preserve">. Quanto ao cenário de renda fixa os índices estão performando positivos, mas a renda variável </w:t>
      </w:r>
      <w:r w:rsidR="00220DD9">
        <w:t xml:space="preserve">doméstica quanto os investimentos no exterior estão puxando as rentabilidades para negativas com destaque para os </w:t>
      </w:r>
      <w:proofErr w:type="spellStart"/>
      <w:r w:rsidR="00220DD9">
        <w:t>BDR´s</w:t>
      </w:r>
      <w:proofErr w:type="spellEnd"/>
      <w:r w:rsidR="00220DD9">
        <w:t>.</w:t>
      </w:r>
      <w:r w:rsidR="00D6037B">
        <w:t xml:space="preserve"> </w:t>
      </w:r>
      <w:r w:rsidR="00220DD9">
        <w:t xml:space="preserve">O mês de fevereiro foi muito bom para os índices de IRF-M1, IMA-B, IMA-B 5+, mas foi bem pontual e pode não se sustentar dentro do ano de 2025. Com isso recomendaram um posicionamento mais defensivo para a carteira visando auferir rentabilidade em linha com este cenário da taxa Selic que trará retorno positivo para os índices IRF-M1 e DI que são os índices que tem performado por mais tempo em linha com a meta atuarial, assim é o momento de aproveitarmos o aumento da </w:t>
      </w:r>
      <w:r w:rsidR="00D6037B">
        <w:t>taxa de juros</w:t>
      </w:r>
      <w:r w:rsidR="00220DD9">
        <w:t xml:space="preserve">. Na análise da nossa carteira a renda fixa é a que temos a maior parcela investida, ou seja, mais de 78% o que está em linha com a estratégia apresentada. Em relação a renda variável a nossa consultoria entende que o nosso percentual está elevado em fundos de ações levando em consideração o cenário econômico atual o que acabou corroborando com a nossa rentabilidade abaixo da meta dentro do mês. </w:t>
      </w:r>
      <w:r w:rsidR="00E10A21">
        <w:t xml:space="preserve">Chamou a atenção para o desempenho negativo do fundo Trígono Delphos justamente por apresentar uma estratégia muito mais volátil neste momento, pois a estratégia SMALL CAPS é uma estratégia de baixa capitalização porque é composta por empresas menores o que dificulta o financiamento das mesmas num cenário extremamente adverso com os juros elevados e a má performance deste fundo acabou puxando o rendimento da nossa carteira bem para baixo. Esta volatilidade nos ativos de ações torna o alcance da meta mais difícil no final do ano por isso a estratégia </w:t>
      </w:r>
      <w:r w:rsidR="00E10A21">
        <w:lastRenderedPageBreak/>
        <w:t>seria manter a maior parte dos ativos em renda fixa. Francielle questionou sobre o IMA-B5</w:t>
      </w:r>
      <w:r w:rsidR="00035E71">
        <w:t xml:space="preserve"> e o IDKA que estão trazendo uma rentabilidade boa neste mês e se é interessante mesmo não aplicar neste segmento e focar mais em CDI, pois resgatamos nestes fundos e aplicamos em CDI, mas a boa performance deles neste mês trouxe dúvidas se não seria interessante aproveitar este momento de boa performance para tentarmos alcançar a meta do mês e também devido ao fato de estarmos com déficit financeiro e tendo que resgatarmos para cobrir com as despesas da folha de pagamento e que embora a taxa SELIC apontar alta durante o ano ficamos em dúvida se realmente estamos no caminho certo. Bruna respondeu que estão apresentando esta estratégia de investimentos em CDI desde o final de 2024 devido a ele está se destacando em rentabilidade e ajudando a atingir a meta e até superá-la e que ele se apresenta até então como um índice mais constante. Que a sugestão deles é manter em IMA-B, </w:t>
      </w:r>
      <w:r w:rsidR="00035E71">
        <w:t xml:space="preserve">IMA-B5 </w:t>
      </w:r>
      <w:r w:rsidR="00035E71">
        <w:t>um percentual, no máximo, de 6% para aproveitar estas janelas de alta performance</w:t>
      </w:r>
      <w:r w:rsidR="008F06BE">
        <w:t xml:space="preserve">. Já o IDKA é um índice de muita volatilidade e sensibilidade porque quando ele sobe pode subir muito e quando caí também e a preocupação deles é em trazer mais previsibilidade nos rendimentos com os </w:t>
      </w:r>
      <w:proofErr w:type="spellStart"/>
      <w:r w:rsidR="008F06BE">
        <w:t>CDI´s</w:t>
      </w:r>
      <w:proofErr w:type="spellEnd"/>
      <w:r w:rsidR="008F06BE">
        <w:t xml:space="preserve"> para termos uma rentabilidade mais próxima da meta. O índice SMALL CAPS é um índice volátil também devido a taxa de juros subir e ele cair, já o </w:t>
      </w:r>
      <w:proofErr w:type="gramStart"/>
      <w:r w:rsidR="008F06BE">
        <w:t>índice dividendos</w:t>
      </w:r>
      <w:proofErr w:type="gramEnd"/>
      <w:r w:rsidR="008F06BE">
        <w:t xml:space="preserve"> traz mais segurança por ser composta por empresas mais sólidas no mercado e tudo isso impacta na carteira e por isso é necessária uma reformulação no segmento de renda variável para proteção da nossa carteira. Francielle informou que já fizemos um levantamento dos nossos fundos de ações e que a nossa intenção é diminuirmos o prazo de resgate dos fundos para temos uma liquidez maior e também o percentual investido, mas que para isso precisamos receber o estudo de ALM para melhor posicionamento</w:t>
      </w:r>
      <w:r w:rsidR="00C227B0">
        <w:t xml:space="preserve"> e evitarmos perdas. Bruna informou que eles sugerem a reformulação de renda fixa para renda fixa e renda variável para renda variável para evitarmos perdas, mas que após o estudo de ALM teremos uma visão melhor se há possibilidade de migrarmos parte de renda variável para renda fixa sem efetuar perda. Bruna informou que se este mês o Ibovespa fechar positivo como está trará uma boa rentabilidade em relação ao mês de fevereiro. Francielle perguntou se a nossa carteira como está alocada se estamos protegidos e Bruna respondeu que não, que realmente precisamos diminuir as alocações em renda variável, especificamente em ações e otimizarmos a renda fixa. </w:t>
      </w:r>
      <w:r w:rsidR="00772B62">
        <w:t>Que,</w:t>
      </w:r>
      <w:r w:rsidR="00C227B0">
        <w:t xml:space="preserve"> no entanto, ainda é cedo para tomarmos decisões muito abruptas porque ainda não fechamos o primeiro trimestre.</w:t>
      </w:r>
      <w:r w:rsidR="00772B62">
        <w:t xml:space="preserve"> Rosimery disse que diante do desempenho da economia entende que se preciso for teremos que efetuarmos o resgate nos fundos SMALL CAPS, mesmo com uma perda pequena e migrarmos para a renda fixa para não termos uma perda maior diante do cenário de elevação da taxa de juros. Que após o estudo de ALM teremos que tentarmos recuperarmos esta “perda” </w:t>
      </w:r>
      <w:r w:rsidR="001C3009">
        <w:t xml:space="preserve">dos fundos SMALL CAPS </w:t>
      </w:r>
      <w:r w:rsidR="00772B62">
        <w:t>na renda fixa</w:t>
      </w:r>
      <w:r w:rsidR="001C3009">
        <w:t xml:space="preserve"> mesmo. Que talvez</w:t>
      </w:r>
      <w:r w:rsidR="00772B62">
        <w:t xml:space="preserve"> um título público de curto prazo que esteja entregando um percentual acima da meta, </w:t>
      </w:r>
      <w:r w:rsidR="001C3009">
        <w:t xml:space="preserve">nos proporcione esta recuperação, </w:t>
      </w:r>
      <w:r w:rsidR="00772B62">
        <w:t xml:space="preserve">no entanto, o título mais curto é de 2 anos e </w:t>
      </w:r>
      <w:r w:rsidR="001C3009">
        <w:t xml:space="preserve">que em </w:t>
      </w:r>
      <w:r w:rsidR="00772B62">
        <w:t xml:space="preserve">2 anos talvez </w:t>
      </w:r>
      <w:r w:rsidR="001C3009">
        <w:t xml:space="preserve">o investimento </w:t>
      </w:r>
      <w:r w:rsidR="00772B62">
        <w:t>não nos traria a recuperação necessária</w:t>
      </w:r>
      <w:r w:rsidR="001C3009">
        <w:t xml:space="preserve">. Que </w:t>
      </w:r>
      <w:r w:rsidR="00772B62">
        <w:t xml:space="preserve">realmente estamos num labirinto, ainda mais, </w:t>
      </w:r>
      <w:r w:rsidR="00772B62">
        <w:lastRenderedPageBreak/>
        <w:t xml:space="preserve">com a possibilidade </w:t>
      </w:r>
      <w:r w:rsidR="001C3009">
        <w:t>de a</w:t>
      </w:r>
      <w:r w:rsidR="00772B62">
        <w:t xml:space="preserve"> prefeitura extinguir o RPPS porque </w:t>
      </w:r>
      <w:r w:rsidR="001C3009">
        <w:t xml:space="preserve">comprando um título </w:t>
      </w:r>
      <w:r w:rsidR="001D379E">
        <w:t xml:space="preserve">público ou privado </w:t>
      </w:r>
      <w:r w:rsidR="001C3009">
        <w:t xml:space="preserve">de 2 anos com marcação na curva nos prenderia até o vencimento e </w:t>
      </w:r>
      <w:r w:rsidR="00772B62">
        <w:t>não podemos ter em carteira nenhum fundo que não nos traga uma liquidez imediata.</w:t>
      </w:r>
      <w:r w:rsidR="001C3009">
        <w:t xml:space="preserve"> </w:t>
      </w:r>
      <w:r w:rsidR="00A22A5E">
        <w:t xml:space="preserve">Diante de todo o exposto, nos resta aguardarmos o estudo de ALM para decisões mais </w:t>
      </w:r>
      <w:r w:rsidR="00EB513C">
        <w:t>assertivas</w:t>
      </w:r>
      <w:r w:rsidR="00A22A5E">
        <w:t xml:space="preserve"> e alinhadas as necessidades </w:t>
      </w:r>
      <w:r w:rsidR="00A22A5E" w:rsidRPr="00ED18DA">
        <w:t xml:space="preserve">deste RPPS. </w:t>
      </w:r>
      <w:r w:rsidR="00EB6EFE">
        <w:t xml:space="preserve">Foi discutido ainda sobre o manual de credenciamento de Instituições financeiras e ficou decidido, por unanimidade, que só credenciaremos instituições financeiras, gestores, administradores e distribuidores que fazem parte do grupo S1 e S2 do Banco Central e da Lista exaustiva da SPREV. </w:t>
      </w:r>
      <w:r w:rsidR="00A60BFE" w:rsidRPr="00ED18DA">
        <w:t>Nada mais havendo a tratar</w:t>
      </w:r>
      <w:r w:rsidR="006902AC" w:rsidRPr="00ED18DA">
        <w:t xml:space="preserve">, </w:t>
      </w:r>
      <w:r w:rsidR="005405F9" w:rsidRPr="00ED18DA">
        <w:t>Francielle</w:t>
      </w:r>
      <w:r w:rsidR="00681746" w:rsidRPr="00ED18DA">
        <w:t>,</w:t>
      </w:r>
      <w:r w:rsidR="00E25891" w:rsidRPr="00ED18DA">
        <w:t xml:space="preserve"> </w:t>
      </w:r>
      <w:r w:rsidR="00681746" w:rsidRPr="00ED18DA">
        <w:t>P</w:t>
      </w:r>
      <w:r w:rsidR="00E25891" w:rsidRPr="00ED18DA">
        <w:t xml:space="preserve">residente do </w:t>
      </w:r>
      <w:r w:rsidR="00681746" w:rsidRPr="00ED18DA">
        <w:t>C</w:t>
      </w:r>
      <w:r w:rsidR="00E25891" w:rsidRPr="00ED18DA">
        <w:t>omitê</w:t>
      </w:r>
      <w:r w:rsidR="00681746" w:rsidRPr="00ED18DA">
        <w:t xml:space="preserve"> de Investimento</w:t>
      </w:r>
      <w:r w:rsidR="00E25891" w:rsidRPr="00ED18DA">
        <w:t>, declara como encerrada a reunião agradecendo a participação de todos,</w:t>
      </w:r>
      <w:r w:rsidR="001F05AC" w:rsidRPr="00ED18DA">
        <w:t xml:space="preserve"> e eu Cláudia Aparecida Monteiro dos santos</w:t>
      </w:r>
      <w:r w:rsidR="00E25891" w:rsidRPr="00ED18DA">
        <w:t xml:space="preserve"> </w:t>
      </w:r>
      <w:r w:rsidR="005204A1" w:rsidRPr="00ED18DA">
        <w:t>_________________, Secretária do Comitê</w:t>
      </w:r>
      <w:r w:rsidR="005204A1" w:rsidRPr="00ED18DA">
        <w:rPr>
          <w:rFonts w:cstheme="minorHAnsi"/>
        </w:rPr>
        <w:t xml:space="preserve"> de Investimento, lavro a presente ata que após lida e aprovada será assinada por todos os membros presentes</w:t>
      </w:r>
      <w:r w:rsidR="00715EDC" w:rsidRPr="00ED18DA">
        <w:rPr>
          <w:rFonts w:cstheme="minorHAnsi"/>
        </w:rPr>
        <w:t xml:space="preserve">. Guanhães, </w:t>
      </w:r>
      <w:r w:rsidR="00305509" w:rsidRPr="00ED18DA">
        <w:rPr>
          <w:rFonts w:cstheme="minorHAnsi"/>
        </w:rPr>
        <w:t>26</w:t>
      </w:r>
      <w:r w:rsidR="00D403FC" w:rsidRPr="00ED18DA">
        <w:rPr>
          <w:rFonts w:cstheme="minorHAnsi"/>
        </w:rPr>
        <w:t xml:space="preserve"> de março</w:t>
      </w:r>
      <w:r w:rsidR="00681746" w:rsidRPr="00ED18DA">
        <w:rPr>
          <w:rFonts w:cstheme="minorHAnsi"/>
        </w:rPr>
        <w:t xml:space="preserve"> </w:t>
      </w:r>
      <w:r w:rsidR="00715EDC" w:rsidRPr="00ED18DA">
        <w:rPr>
          <w:rFonts w:cstheme="minorHAnsi"/>
        </w:rPr>
        <w:t>de 202</w:t>
      </w:r>
      <w:r w:rsidR="001F05AC" w:rsidRPr="00ED18DA">
        <w:rPr>
          <w:rFonts w:cstheme="minorHAnsi"/>
        </w:rPr>
        <w:t>5</w:t>
      </w:r>
      <w:r w:rsidR="00715EDC" w:rsidRPr="00ED18DA">
        <w:rPr>
          <w:rFonts w:cstheme="minorHAnsi"/>
        </w:rPr>
        <w:t>.</w:t>
      </w:r>
    </w:p>
    <w:p w14:paraId="6F117879" w14:textId="77777777" w:rsidR="00B83FA2" w:rsidRDefault="00B83FA2" w:rsidP="00B83FA2">
      <w:pPr>
        <w:pStyle w:val="SemEspaamento"/>
      </w:pPr>
    </w:p>
    <w:p w14:paraId="45558FCC" w14:textId="77777777" w:rsidR="00EC0891" w:rsidRDefault="00EC0891" w:rsidP="00B83FA2">
      <w:pPr>
        <w:pStyle w:val="SemEspaamento"/>
      </w:pPr>
    </w:p>
    <w:p w14:paraId="6E2A68A7" w14:textId="2225A8B2" w:rsidR="00305509" w:rsidRPr="00A41A3C" w:rsidRDefault="00B83FA2" w:rsidP="00305509">
      <w:pPr>
        <w:pStyle w:val="SemEspaamento"/>
        <w:jc w:val="center"/>
      </w:pPr>
      <w:r w:rsidRPr="00A41A3C">
        <w:t>Francielle E. de O. Costa</w:t>
      </w:r>
    </w:p>
    <w:p w14:paraId="53845A80" w14:textId="19C56F56" w:rsidR="00B83FA2" w:rsidRPr="00A41A3C" w:rsidRDefault="00B83FA2" w:rsidP="00305509">
      <w:pPr>
        <w:pStyle w:val="SemEspaamento"/>
        <w:jc w:val="center"/>
      </w:pPr>
      <w:r w:rsidRPr="00A41A3C">
        <w:t>Presidente do Comitê/Gestor Recursos</w:t>
      </w:r>
    </w:p>
    <w:p w14:paraId="1790B9D1" w14:textId="77777777" w:rsidR="00B83FA2" w:rsidRPr="00A41A3C" w:rsidRDefault="00B83FA2" w:rsidP="00B83FA2">
      <w:pPr>
        <w:pStyle w:val="SemEspaamento"/>
      </w:pPr>
      <w:r w:rsidRPr="00A41A3C">
        <w:t xml:space="preserve"> </w:t>
      </w:r>
    </w:p>
    <w:p w14:paraId="26354E2F" w14:textId="77777777" w:rsidR="00B83FA2" w:rsidRPr="00A41A3C" w:rsidRDefault="00B83FA2" w:rsidP="00B83FA2">
      <w:pPr>
        <w:pStyle w:val="SemEspaamento"/>
      </w:pPr>
    </w:p>
    <w:p w14:paraId="7C1D6A13" w14:textId="77777777" w:rsidR="00305509" w:rsidRDefault="00305509" w:rsidP="00305509">
      <w:pPr>
        <w:pStyle w:val="SemEspaamento"/>
        <w:jc w:val="center"/>
      </w:pPr>
    </w:p>
    <w:p w14:paraId="47E83359" w14:textId="109A462B" w:rsidR="00305509" w:rsidRDefault="00305509" w:rsidP="00305509">
      <w:pPr>
        <w:pStyle w:val="SemEspaamento"/>
        <w:jc w:val="center"/>
      </w:pPr>
      <w:r w:rsidRPr="00A41A3C">
        <w:t>Cláudia Aparecida Monteiro dos Santos</w:t>
      </w:r>
      <w:r w:rsidRPr="00A41A3C">
        <w:t xml:space="preserve"> </w:t>
      </w:r>
      <w:r>
        <w:t xml:space="preserve">                           </w:t>
      </w:r>
      <w:r w:rsidRPr="00A41A3C">
        <w:t>Daniel Fernando da Silva</w:t>
      </w:r>
    </w:p>
    <w:p w14:paraId="71213E5C" w14:textId="067E90B6" w:rsidR="00305509" w:rsidRDefault="00305509" w:rsidP="00305509">
      <w:pPr>
        <w:pStyle w:val="SemEspaamento"/>
      </w:pPr>
      <w:r>
        <w:t xml:space="preserve">                                        </w:t>
      </w:r>
      <w:r>
        <w:t>Secretária</w:t>
      </w:r>
      <w:r>
        <w:t xml:space="preserve">                                                                     Membro</w:t>
      </w:r>
    </w:p>
    <w:p w14:paraId="3C4E4423" w14:textId="77777777" w:rsidR="00305509" w:rsidRDefault="00305509" w:rsidP="00305509">
      <w:pPr>
        <w:pStyle w:val="SemEspaamento"/>
        <w:jc w:val="center"/>
      </w:pPr>
    </w:p>
    <w:p w14:paraId="660530F2" w14:textId="77777777" w:rsidR="00B83FA2" w:rsidRPr="00A41A3C" w:rsidRDefault="00B83FA2" w:rsidP="00B83FA2">
      <w:pPr>
        <w:pStyle w:val="SemEspaamento"/>
      </w:pPr>
    </w:p>
    <w:p w14:paraId="7033A5E1" w14:textId="77777777" w:rsidR="00B83FA2" w:rsidRPr="00A41A3C" w:rsidRDefault="00B83FA2" w:rsidP="00B83FA2">
      <w:pPr>
        <w:pStyle w:val="SemEspaamento"/>
      </w:pPr>
    </w:p>
    <w:p w14:paraId="086F8D25" w14:textId="2D24377A" w:rsidR="00B83FA2" w:rsidRPr="00A41A3C" w:rsidRDefault="00D403FC" w:rsidP="00B83FA2">
      <w:pPr>
        <w:pStyle w:val="SemEspaamento"/>
      </w:pPr>
      <w:r>
        <w:t xml:space="preserve">    </w:t>
      </w:r>
      <w:r w:rsidR="00F632C3">
        <w:t xml:space="preserve">                   </w:t>
      </w:r>
      <w:r>
        <w:t xml:space="preserve"> </w:t>
      </w:r>
      <w:r w:rsidR="00B83FA2" w:rsidRPr="00A41A3C">
        <w:t xml:space="preserve">  Márcia Helena Pires Reis          </w:t>
      </w:r>
      <w:r w:rsidR="00305509">
        <w:t xml:space="preserve">                    </w:t>
      </w:r>
      <w:r w:rsidR="00B83FA2" w:rsidRPr="00A41A3C">
        <w:t xml:space="preserve"> </w:t>
      </w:r>
      <w:r w:rsidR="00305509" w:rsidRPr="00A41A3C">
        <w:t xml:space="preserve">Rosimery Ap. Inácio de Pinho Procópio  </w:t>
      </w:r>
    </w:p>
    <w:p w14:paraId="3A868734" w14:textId="7C033AFF" w:rsidR="00B83FA2" w:rsidRPr="00A41A3C" w:rsidRDefault="00B83FA2" w:rsidP="00B83FA2">
      <w:pPr>
        <w:pStyle w:val="SemEspaamento"/>
      </w:pPr>
      <w:r w:rsidRPr="00A41A3C">
        <w:t xml:space="preserve">                   </w:t>
      </w:r>
      <w:r>
        <w:t xml:space="preserve">  </w:t>
      </w:r>
      <w:r w:rsidR="00034270">
        <w:t xml:space="preserve"> </w:t>
      </w:r>
      <w:r w:rsidR="00F632C3">
        <w:t xml:space="preserve">                </w:t>
      </w:r>
      <w:r w:rsidRPr="00A41A3C">
        <w:t xml:space="preserve"> Membro                                 </w:t>
      </w:r>
      <w:r w:rsidR="00305509">
        <w:t xml:space="preserve">               </w:t>
      </w:r>
      <w:r w:rsidR="00D403FC">
        <w:t xml:space="preserve">  </w:t>
      </w:r>
      <w:r w:rsidR="00034270">
        <w:t xml:space="preserve">                      </w:t>
      </w:r>
      <w:proofErr w:type="spellStart"/>
      <w:r w:rsidR="00034270">
        <w:t>Membro</w:t>
      </w:r>
      <w:proofErr w:type="spellEnd"/>
    </w:p>
    <w:p w14:paraId="55FDA9A9" w14:textId="77777777" w:rsidR="00B83FA2" w:rsidRPr="00A41A3C" w:rsidRDefault="00B83FA2" w:rsidP="00B83FA2">
      <w:pPr>
        <w:pStyle w:val="SemEspaamento"/>
      </w:pPr>
    </w:p>
    <w:p w14:paraId="7F629514" w14:textId="77777777" w:rsidR="00B83FA2" w:rsidRPr="00A41A3C" w:rsidRDefault="00B83FA2" w:rsidP="00B83FA2">
      <w:pPr>
        <w:pStyle w:val="SemEspaamento"/>
      </w:pPr>
    </w:p>
    <w:p w14:paraId="03FE148F" w14:textId="77777777" w:rsidR="00B83FA2" w:rsidRDefault="00B83FA2" w:rsidP="00B83FA2">
      <w:pPr>
        <w:pStyle w:val="SemEspaamento"/>
      </w:pPr>
    </w:p>
    <w:p w14:paraId="456761D4" w14:textId="77777777" w:rsidR="00B83FA2" w:rsidRDefault="00B83FA2" w:rsidP="00B83FA2">
      <w:pPr>
        <w:pStyle w:val="SemEspaamento"/>
      </w:pPr>
    </w:p>
    <w:sectPr w:rsidR="00B83FA2" w:rsidSect="000C6976">
      <w:headerReference w:type="default" r:id="rId6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728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52628203" name="Imagem 1526282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34270"/>
    <w:rsid w:val="00035E71"/>
    <w:rsid w:val="00052BCC"/>
    <w:rsid w:val="00077701"/>
    <w:rsid w:val="00086AF4"/>
    <w:rsid w:val="000C41A3"/>
    <w:rsid w:val="000C6976"/>
    <w:rsid w:val="000D31FE"/>
    <w:rsid w:val="000E0B54"/>
    <w:rsid w:val="000F1624"/>
    <w:rsid w:val="00103155"/>
    <w:rsid w:val="00111CB4"/>
    <w:rsid w:val="00126B18"/>
    <w:rsid w:val="00130D2F"/>
    <w:rsid w:val="00140D88"/>
    <w:rsid w:val="001760A0"/>
    <w:rsid w:val="001B52CB"/>
    <w:rsid w:val="001C0928"/>
    <w:rsid w:val="001C3009"/>
    <w:rsid w:val="001C5CD2"/>
    <w:rsid w:val="001D379E"/>
    <w:rsid w:val="001D750C"/>
    <w:rsid w:val="001F05AC"/>
    <w:rsid w:val="002136E5"/>
    <w:rsid w:val="00220DD9"/>
    <w:rsid w:val="0022668D"/>
    <w:rsid w:val="00236B8D"/>
    <w:rsid w:val="00287591"/>
    <w:rsid w:val="002A144E"/>
    <w:rsid w:val="002B7B97"/>
    <w:rsid w:val="00305509"/>
    <w:rsid w:val="00305BFB"/>
    <w:rsid w:val="00306E0E"/>
    <w:rsid w:val="00310350"/>
    <w:rsid w:val="00317AD4"/>
    <w:rsid w:val="003250CC"/>
    <w:rsid w:val="0032686E"/>
    <w:rsid w:val="00337742"/>
    <w:rsid w:val="00357D24"/>
    <w:rsid w:val="00360C77"/>
    <w:rsid w:val="003845C2"/>
    <w:rsid w:val="003B06D9"/>
    <w:rsid w:val="003C33DE"/>
    <w:rsid w:val="003E1B33"/>
    <w:rsid w:val="004331DB"/>
    <w:rsid w:val="0045411D"/>
    <w:rsid w:val="00457703"/>
    <w:rsid w:val="00470775"/>
    <w:rsid w:val="00480DB9"/>
    <w:rsid w:val="00484D27"/>
    <w:rsid w:val="004873C4"/>
    <w:rsid w:val="00490B8F"/>
    <w:rsid w:val="00491624"/>
    <w:rsid w:val="00495297"/>
    <w:rsid w:val="004B4F63"/>
    <w:rsid w:val="004E7C89"/>
    <w:rsid w:val="004F0898"/>
    <w:rsid w:val="005204A1"/>
    <w:rsid w:val="00533F7C"/>
    <w:rsid w:val="0053437B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B788B"/>
    <w:rsid w:val="006F4678"/>
    <w:rsid w:val="0070367D"/>
    <w:rsid w:val="00715EDC"/>
    <w:rsid w:val="00746E38"/>
    <w:rsid w:val="0076367F"/>
    <w:rsid w:val="007718A6"/>
    <w:rsid w:val="00772B62"/>
    <w:rsid w:val="007A6E39"/>
    <w:rsid w:val="007C7524"/>
    <w:rsid w:val="007D4497"/>
    <w:rsid w:val="007E2DBA"/>
    <w:rsid w:val="007F6587"/>
    <w:rsid w:val="00804BD2"/>
    <w:rsid w:val="00857F16"/>
    <w:rsid w:val="008878AB"/>
    <w:rsid w:val="00895564"/>
    <w:rsid w:val="008D121C"/>
    <w:rsid w:val="008E0C32"/>
    <w:rsid w:val="008F06BE"/>
    <w:rsid w:val="0090692B"/>
    <w:rsid w:val="009131E7"/>
    <w:rsid w:val="0092513B"/>
    <w:rsid w:val="0093398C"/>
    <w:rsid w:val="00945271"/>
    <w:rsid w:val="0095411E"/>
    <w:rsid w:val="00957CC8"/>
    <w:rsid w:val="00963529"/>
    <w:rsid w:val="009868BE"/>
    <w:rsid w:val="009A0070"/>
    <w:rsid w:val="009A3FFD"/>
    <w:rsid w:val="009A7790"/>
    <w:rsid w:val="009B4279"/>
    <w:rsid w:val="009D452D"/>
    <w:rsid w:val="00A1307B"/>
    <w:rsid w:val="00A22A5E"/>
    <w:rsid w:val="00A2341A"/>
    <w:rsid w:val="00A261D0"/>
    <w:rsid w:val="00A275F4"/>
    <w:rsid w:val="00A60BFE"/>
    <w:rsid w:val="00A67609"/>
    <w:rsid w:val="00AB1D0C"/>
    <w:rsid w:val="00AB35CF"/>
    <w:rsid w:val="00AC5B92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A35B1"/>
    <w:rsid w:val="00BF14B5"/>
    <w:rsid w:val="00C227B0"/>
    <w:rsid w:val="00C229CA"/>
    <w:rsid w:val="00C2611E"/>
    <w:rsid w:val="00C463F2"/>
    <w:rsid w:val="00C50CED"/>
    <w:rsid w:val="00C616CF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6037B"/>
    <w:rsid w:val="00D77A39"/>
    <w:rsid w:val="00D9044A"/>
    <w:rsid w:val="00DA2184"/>
    <w:rsid w:val="00DB2117"/>
    <w:rsid w:val="00DC1CFB"/>
    <w:rsid w:val="00DC1FA5"/>
    <w:rsid w:val="00DC30E0"/>
    <w:rsid w:val="00DC30F7"/>
    <w:rsid w:val="00DD0CFF"/>
    <w:rsid w:val="00DD3339"/>
    <w:rsid w:val="00DF1FF3"/>
    <w:rsid w:val="00E10A21"/>
    <w:rsid w:val="00E25891"/>
    <w:rsid w:val="00E55565"/>
    <w:rsid w:val="00E7391A"/>
    <w:rsid w:val="00E93806"/>
    <w:rsid w:val="00EA5028"/>
    <w:rsid w:val="00EB513C"/>
    <w:rsid w:val="00EB5A58"/>
    <w:rsid w:val="00EB5CFF"/>
    <w:rsid w:val="00EB5F59"/>
    <w:rsid w:val="00EB6666"/>
    <w:rsid w:val="00EB6EFE"/>
    <w:rsid w:val="00EB78A3"/>
    <w:rsid w:val="00EC05EE"/>
    <w:rsid w:val="00EC0891"/>
    <w:rsid w:val="00ED18DA"/>
    <w:rsid w:val="00EE7DDD"/>
    <w:rsid w:val="00EF3A33"/>
    <w:rsid w:val="00F02960"/>
    <w:rsid w:val="00F23004"/>
    <w:rsid w:val="00F33932"/>
    <w:rsid w:val="00F53CAA"/>
    <w:rsid w:val="00F632C3"/>
    <w:rsid w:val="00FB55B7"/>
    <w:rsid w:val="00FD05EC"/>
    <w:rsid w:val="00FD26FF"/>
    <w:rsid w:val="00FD650E"/>
    <w:rsid w:val="00FE05FB"/>
    <w:rsid w:val="00FE5D9A"/>
    <w:rsid w:val="00FF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3391B7B0-666D-4FC8-8BBD-C81BC62D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4</Pages>
  <Words>1795</Words>
  <Characters>9698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33</cp:revision>
  <cp:lastPrinted>2025-05-20T18:37:00Z</cp:lastPrinted>
  <dcterms:created xsi:type="dcterms:W3CDTF">2025-04-16T14:53:00Z</dcterms:created>
  <dcterms:modified xsi:type="dcterms:W3CDTF">2025-05-20T18:37:00Z</dcterms:modified>
</cp:coreProperties>
</file>